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64" w:rsidRPr="00EA324E" w:rsidRDefault="00EA324E" w:rsidP="00845688">
      <w:pPr>
        <w:pStyle w:val="a3"/>
        <w:jc w:val="center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EE5D64" w:rsidRPr="00EA324E" w:rsidRDefault="00EA324E" w:rsidP="00EA324E">
      <w:pPr>
        <w:pStyle w:val="a3"/>
        <w:spacing w:after="120"/>
        <w:jc w:val="center"/>
        <w:rPr>
          <w:lang w:val="en-US"/>
        </w:rPr>
      </w:pPr>
      <w:r>
        <w:rPr>
          <w:lang w:val="en-US"/>
        </w:rPr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4"/>
        <w:gridCol w:w="1027"/>
        <w:gridCol w:w="1284"/>
        <w:gridCol w:w="1269"/>
        <w:gridCol w:w="752"/>
        <w:gridCol w:w="1412"/>
        <w:gridCol w:w="2802"/>
      </w:tblGrid>
      <w:tr w:rsidR="00F823E2" w:rsidTr="00845688">
        <w:trPr>
          <w:trHeight w:val="20"/>
        </w:trPr>
        <w:tc>
          <w:tcPr>
            <w:tcW w:w="5000" w:type="pct"/>
            <w:gridSpan w:val="7"/>
          </w:tcPr>
          <w:p w:rsidR="00EE5D64" w:rsidRDefault="00EA324E" w:rsidP="0084568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F823E2" w:rsidRPr="00EA324E" w:rsidTr="00845688">
        <w:trPr>
          <w:trHeight w:val="20"/>
        </w:trPr>
        <w:tc>
          <w:tcPr>
            <w:tcW w:w="2427" w:type="pct"/>
            <w:gridSpan w:val="4"/>
          </w:tcPr>
          <w:p w:rsidR="00EE5D64" w:rsidRPr="00EA324E" w:rsidRDefault="00EA324E" w:rsidP="00845688">
            <w:pPr>
              <w:pStyle w:val="TableParagraph"/>
              <w:tabs>
                <w:tab w:val="left" w:pos="1631"/>
                <w:tab w:val="left" w:pos="3051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73" w:type="pct"/>
            <w:gridSpan w:val="3"/>
          </w:tcPr>
          <w:p w:rsidR="00EE5D64" w:rsidRPr="00EA324E" w:rsidRDefault="00EA324E" w:rsidP="00845688">
            <w:pPr>
              <w:pStyle w:val="TableParagraph"/>
              <w:tabs>
                <w:tab w:val="left" w:pos="1871"/>
                <w:tab w:val="left" w:pos="3770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Distribution Grid </w:t>
            </w:r>
            <w:r>
              <w:rPr>
                <w:b/>
                <w:sz w:val="24"/>
                <w:lang w:val="en-US"/>
              </w:rPr>
              <w:t>Company of the South”</w:t>
            </w:r>
          </w:p>
        </w:tc>
      </w:tr>
      <w:tr w:rsidR="00F823E2" w:rsidRPr="00EA324E" w:rsidTr="00845688">
        <w:trPr>
          <w:trHeight w:val="20"/>
        </w:trPr>
        <w:tc>
          <w:tcPr>
            <w:tcW w:w="2427" w:type="pct"/>
            <w:gridSpan w:val="4"/>
          </w:tcPr>
          <w:p w:rsidR="00EE5D64" w:rsidRPr="00EA324E" w:rsidRDefault="00EA324E" w:rsidP="00845688">
            <w:pPr>
              <w:pStyle w:val="TableParagraph"/>
              <w:tabs>
                <w:tab w:val="left" w:pos="336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73" w:type="pct"/>
            <w:gridSpan w:val="3"/>
          </w:tcPr>
          <w:p w:rsidR="00EE5D64" w:rsidRPr="00EA324E" w:rsidRDefault="00EA324E" w:rsidP="00845688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F823E2" w:rsidRPr="00EA324E" w:rsidTr="00845688">
        <w:trPr>
          <w:trHeight w:val="20"/>
        </w:trPr>
        <w:tc>
          <w:tcPr>
            <w:tcW w:w="2427" w:type="pct"/>
            <w:gridSpan w:val="4"/>
          </w:tcPr>
          <w:p w:rsidR="00EE5D64" w:rsidRDefault="00EA324E" w:rsidP="008456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73" w:type="pct"/>
            <w:gridSpan w:val="3"/>
          </w:tcPr>
          <w:p w:rsidR="00EE5D64" w:rsidRPr="00EA324E" w:rsidRDefault="00EA324E" w:rsidP="00845688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F823E2" w:rsidTr="00845688">
        <w:trPr>
          <w:trHeight w:val="20"/>
        </w:trPr>
        <w:tc>
          <w:tcPr>
            <w:tcW w:w="2427" w:type="pct"/>
            <w:gridSpan w:val="4"/>
          </w:tcPr>
          <w:p w:rsidR="00EE5D64" w:rsidRDefault="00EA324E" w:rsidP="008456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73" w:type="pct"/>
            <w:gridSpan w:val="3"/>
          </w:tcPr>
          <w:p w:rsidR="00EE5D64" w:rsidRDefault="00EA324E" w:rsidP="0084568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F823E2" w:rsidTr="00845688">
        <w:trPr>
          <w:trHeight w:val="20"/>
        </w:trPr>
        <w:tc>
          <w:tcPr>
            <w:tcW w:w="2427" w:type="pct"/>
            <w:gridSpan w:val="4"/>
          </w:tcPr>
          <w:p w:rsidR="00EE5D64" w:rsidRDefault="00EA324E" w:rsidP="008456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73" w:type="pct"/>
            <w:gridSpan w:val="3"/>
          </w:tcPr>
          <w:p w:rsidR="00EE5D64" w:rsidRDefault="00EA324E" w:rsidP="0084568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F823E2" w:rsidTr="00845688">
        <w:trPr>
          <w:trHeight w:val="20"/>
        </w:trPr>
        <w:tc>
          <w:tcPr>
            <w:tcW w:w="2427" w:type="pct"/>
            <w:gridSpan w:val="4"/>
          </w:tcPr>
          <w:p w:rsidR="00EE5D64" w:rsidRPr="00EA324E" w:rsidRDefault="00EA324E" w:rsidP="00845688">
            <w:pPr>
              <w:pStyle w:val="TableParagraph"/>
              <w:tabs>
                <w:tab w:val="left" w:pos="2518"/>
                <w:tab w:val="left" w:pos="3511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1.6. Unique code of </w:t>
            </w:r>
            <w:r>
              <w:rPr>
                <w:sz w:val="24"/>
                <w:lang w:val="en-US"/>
              </w:rPr>
              <w:t>the Issuer, assigned by the registering authority:</w:t>
            </w:r>
          </w:p>
        </w:tc>
        <w:tc>
          <w:tcPr>
            <w:tcW w:w="2573" w:type="pct"/>
            <w:gridSpan w:val="3"/>
            <w:vAlign w:val="center"/>
          </w:tcPr>
          <w:p w:rsidR="00EE5D64" w:rsidRDefault="00EA324E" w:rsidP="0084568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F823E2" w:rsidTr="00845688">
        <w:trPr>
          <w:trHeight w:val="20"/>
        </w:trPr>
        <w:tc>
          <w:tcPr>
            <w:tcW w:w="2427" w:type="pct"/>
            <w:gridSpan w:val="4"/>
          </w:tcPr>
          <w:p w:rsidR="00EE5D64" w:rsidRPr="00EA324E" w:rsidRDefault="00EA324E" w:rsidP="00845688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573" w:type="pct"/>
            <w:gridSpan w:val="3"/>
            <w:vAlign w:val="center"/>
          </w:tcPr>
          <w:p w:rsidR="00845688" w:rsidRDefault="00EA324E" w:rsidP="00845688">
            <w:pPr>
              <w:pStyle w:val="TableParagraph"/>
              <w:ind w:left="0"/>
              <w:rPr>
                <w:b/>
                <w:sz w:val="24"/>
              </w:rPr>
            </w:pPr>
            <w:hyperlink r:id="rId7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EA324E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EA324E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r w:rsidRPr="00EA324E">
                <w:rPr>
                  <w:b/>
                  <w:sz w:val="24"/>
                  <w:u w:val="thick"/>
                </w:rPr>
                <w:t>-</w:t>
              </w:r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r w:rsidRPr="00EA324E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  <w:r w:rsidRPr="00EA324E">
              <w:rPr>
                <w:b/>
                <w:sz w:val="24"/>
              </w:rPr>
              <w:t xml:space="preserve"> </w:t>
            </w:r>
          </w:p>
          <w:p w:rsidR="00EE5D64" w:rsidRPr="00845688" w:rsidRDefault="00EA324E" w:rsidP="00845688">
            <w:pPr>
              <w:pStyle w:val="TableParagraph"/>
              <w:ind w:left="0"/>
              <w:rPr>
                <w:b/>
                <w:sz w:val="24"/>
              </w:rPr>
            </w:pPr>
            <w:hyperlink r:id="rId8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EA324E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EA324E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EA324E">
                <w:rPr>
                  <w:b/>
                  <w:sz w:val="24"/>
                  <w:u w:val="thick"/>
                </w:rPr>
                <w:t>-</w:t>
              </w:r>
            </w:hyperlink>
            <w:hyperlink r:id="rId9" w:history="1">
              <w:r w:rsidRPr="00845688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EA324E">
                <w:rPr>
                  <w:b/>
                  <w:sz w:val="24"/>
                  <w:u w:val="thick"/>
                </w:rPr>
                <w:t>.</w:t>
              </w:r>
              <w:r w:rsidRPr="00845688">
                <w:rPr>
                  <w:b/>
                  <w:sz w:val="24"/>
                  <w:u w:val="thick"/>
                  <w:lang w:val="en-US"/>
                </w:rPr>
                <w:t>ru</w:t>
              </w:r>
              <w:r w:rsidRPr="00EA324E">
                <w:rPr>
                  <w:b/>
                  <w:sz w:val="24"/>
                  <w:u w:val="thick"/>
                </w:rPr>
                <w:t>/</w:t>
              </w:r>
              <w:r w:rsidRPr="00845688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EA324E">
                <w:rPr>
                  <w:b/>
                  <w:sz w:val="24"/>
                  <w:u w:val="thick"/>
                </w:rPr>
                <w:t>/</w:t>
              </w:r>
              <w:r w:rsidRPr="00845688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EA324E">
                <w:rPr>
                  <w:b/>
                  <w:sz w:val="24"/>
                  <w:u w:val="thick"/>
                </w:rPr>
                <w:t>.</w:t>
              </w:r>
              <w:r w:rsidRPr="00845688">
                <w:rPr>
                  <w:b/>
                  <w:sz w:val="24"/>
                  <w:u w:val="thick"/>
                  <w:lang w:val="en-US"/>
                </w:rPr>
                <w:t>aspx</w:t>
              </w:r>
              <w:r w:rsidRPr="00EA324E">
                <w:rPr>
                  <w:b/>
                  <w:sz w:val="24"/>
                  <w:u w:val="thick"/>
                </w:rPr>
                <w:t>?</w:t>
              </w:r>
              <w:r w:rsidRPr="00845688">
                <w:rPr>
                  <w:b/>
                  <w:sz w:val="24"/>
                  <w:u w:val="thick"/>
                  <w:lang w:val="en-US"/>
                </w:rPr>
                <w:t>id</w:t>
              </w:r>
              <w:r w:rsidRPr="00EA324E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F823E2" w:rsidTr="00845688">
        <w:trPr>
          <w:trHeight w:val="20"/>
        </w:trPr>
        <w:tc>
          <w:tcPr>
            <w:tcW w:w="2427" w:type="pct"/>
            <w:gridSpan w:val="4"/>
          </w:tcPr>
          <w:p w:rsidR="00EE5D64" w:rsidRPr="00EA324E" w:rsidRDefault="00EA324E" w:rsidP="00845688">
            <w:pPr>
              <w:pStyle w:val="TableParagraph"/>
              <w:tabs>
                <w:tab w:val="left" w:pos="978"/>
                <w:tab w:val="left" w:pos="1911"/>
                <w:tab w:val="left" w:pos="2129"/>
                <w:tab w:val="left" w:pos="3195"/>
                <w:tab w:val="left" w:pos="365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1.8. Event effective date (material fact) of which the </w:t>
            </w:r>
            <w:r>
              <w:rPr>
                <w:sz w:val="24"/>
                <w:lang w:val="en-US"/>
              </w:rPr>
              <w:t>message is composed (if applicable):</w:t>
            </w:r>
          </w:p>
        </w:tc>
        <w:tc>
          <w:tcPr>
            <w:tcW w:w="2573" w:type="pct"/>
            <w:gridSpan w:val="3"/>
            <w:vAlign w:val="center"/>
          </w:tcPr>
          <w:p w:rsidR="00EE5D64" w:rsidRDefault="00EA324E" w:rsidP="0084568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September 9, 2019</w:t>
            </w:r>
          </w:p>
        </w:tc>
      </w:tr>
      <w:tr w:rsidR="00F823E2" w:rsidTr="00845688">
        <w:trPr>
          <w:trHeight w:val="20"/>
        </w:trPr>
        <w:tc>
          <w:tcPr>
            <w:tcW w:w="5000" w:type="pct"/>
            <w:gridSpan w:val="7"/>
          </w:tcPr>
          <w:p w:rsidR="00EE5D64" w:rsidRDefault="00EA324E" w:rsidP="0084568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F823E2" w:rsidRPr="00EA324E" w:rsidTr="00845688">
        <w:trPr>
          <w:trHeight w:val="20"/>
        </w:trPr>
        <w:tc>
          <w:tcPr>
            <w:tcW w:w="5000" w:type="pct"/>
            <w:gridSpan w:val="7"/>
          </w:tcPr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>
              <w:rPr>
                <w:b/>
                <w:i/>
                <w:sz w:val="24"/>
                <w:lang w:val="en-US"/>
              </w:rPr>
              <w:t xml:space="preserve">11 out of 11 members of the Board of Directors participated in the </w:t>
            </w:r>
            <w:r>
              <w:rPr>
                <w:b/>
                <w:i/>
                <w:sz w:val="24"/>
                <w:lang w:val="en-US"/>
              </w:rPr>
              <w:t>meeting, a quorum is present.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Voting results </w:t>
            </w:r>
            <w:r>
              <w:rPr>
                <w:b/>
                <w:sz w:val="24"/>
                <w:lang w:val="en-US"/>
              </w:rPr>
              <w:t>on issue No. 1</w:t>
            </w:r>
            <w:r>
              <w:rPr>
                <w:sz w:val="24"/>
                <w:lang w:val="en-US"/>
              </w:rPr>
              <w:t xml:space="preserve"> of the agenda: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10 votes;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1 vote;</w:t>
            </w:r>
          </w:p>
          <w:p w:rsidR="00EE5D64" w:rsidRPr="00EA324E" w:rsidRDefault="00EA324E" w:rsidP="00845688">
            <w:pPr>
              <w:pStyle w:val="TableParagraph"/>
              <w:spacing w:after="120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0 votes.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Voting results </w:t>
            </w:r>
            <w:r>
              <w:rPr>
                <w:b/>
                <w:sz w:val="24"/>
                <w:lang w:val="en-US"/>
              </w:rPr>
              <w:t>on issue No. 2</w:t>
            </w:r>
            <w:r>
              <w:rPr>
                <w:sz w:val="24"/>
                <w:lang w:val="en-US"/>
              </w:rPr>
              <w:t xml:space="preserve"> of the agenda: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8 votes;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1 vote;</w:t>
            </w:r>
          </w:p>
          <w:p w:rsidR="00EE5D64" w:rsidRPr="00EA324E" w:rsidRDefault="00EA324E" w:rsidP="00845688">
            <w:pPr>
              <w:pStyle w:val="TableParagraph"/>
              <w:spacing w:after="120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2 votes.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Voting results </w:t>
            </w:r>
            <w:r>
              <w:rPr>
                <w:b/>
                <w:sz w:val="24"/>
                <w:lang w:val="en-US"/>
              </w:rPr>
              <w:t>on iss</w:t>
            </w:r>
            <w:r>
              <w:rPr>
                <w:b/>
                <w:sz w:val="24"/>
                <w:lang w:val="en-US"/>
              </w:rPr>
              <w:t>ue No. 3</w:t>
            </w:r>
            <w:r>
              <w:rPr>
                <w:sz w:val="24"/>
                <w:lang w:val="en-US"/>
              </w:rPr>
              <w:t xml:space="preserve"> of the agenda: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10 votes;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:rsidR="00EE5D64" w:rsidRPr="00EA324E" w:rsidRDefault="00EA324E" w:rsidP="00845688">
            <w:pPr>
              <w:pStyle w:val="TableParagraph"/>
              <w:spacing w:after="120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1 vote.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Voting results </w:t>
            </w:r>
            <w:r>
              <w:rPr>
                <w:b/>
                <w:sz w:val="24"/>
                <w:lang w:val="en-US"/>
              </w:rPr>
              <w:t>on issue No. 4</w:t>
            </w:r>
            <w:r>
              <w:rPr>
                <w:sz w:val="24"/>
                <w:lang w:val="en-US"/>
              </w:rPr>
              <w:t xml:space="preserve"> of the agenda: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10 votes;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:rsidR="00EE5D64" w:rsidRPr="00EA324E" w:rsidRDefault="00EA324E" w:rsidP="00845688">
            <w:pPr>
              <w:pStyle w:val="TableParagraph"/>
              <w:spacing w:after="120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1 vote.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Voting results </w:t>
            </w:r>
            <w:r>
              <w:rPr>
                <w:b/>
                <w:sz w:val="24"/>
                <w:lang w:val="en-US"/>
              </w:rPr>
              <w:t>on issue No. 5</w:t>
            </w:r>
            <w:r>
              <w:rPr>
                <w:sz w:val="24"/>
                <w:lang w:val="en-US"/>
              </w:rPr>
              <w:t xml:space="preserve"> of the agenda: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10 votes;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"CON" </w:t>
            </w:r>
            <w:r>
              <w:rPr>
                <w:sz w:val="24"/>
                <w:lang w:val="en-US"/>
              </w:rPr>
              <w:t>is 0 votes;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1 vote.</w:t>
            </w:r>
          </w:p>
          <w:p w:rsidR="00EE5D64" w:rsidRPr="00EA324E" w:rsidRDefault="00EA324E" w:rsidP="00845688">
            <w:pPr>
              <w:pStyle w:val="TableParagraph"/>
              <w:ind w:left="0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On the agenda issue No. 3 of the meeting of the Board of Directors of IDGC of the South, PJSC, a Special Opinion of Andrey Vladimirovich Morozov, Member of the Board of Directors of the Company was received (Annex to the Mi</w:t>
            </w:r>
            <w:r>
              <w:rPr>
                <w:i/>
                <w:sz w:val="24"/>
                <w:lang w:val="en-US"/>
              </w:rPr>
              <w:t>nutes of the Company's Board of Directors).</w:t>
            </w:r>
          </w:p>
        </w:tc>
      </w:tr>
      <w:tr w:rsidR="00F823E2" w:rsidRPr="00EA324E" w:rsidTr="00845688">
        <w:trPr>
          <w:trHeight w:val="20"/>
        </w:trPr>
        <w:tc>
          <w:tcPr>
            <w:tcW w:w="5000" w:type="pct"/>
            <w:gridSpan w:val="7"/>
          </w:tcPr>
          <w:p w:rsidR="00EE5D64" w:rsidRPr="00EA324E" w:rsidRDefault="00EA324E" w:rsidP="00845688">
            <w:pPr>
              <w:pStyle w:val="TableParagraph"/>
              <w:tabs>
                <w:tab w:val="left" w:pos="856"/>
              </w:tabs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1: On the progress of the Company's Register of non-core assets execution as of June 30, 2019.</w:t>
            </w:r>
          </w:p>
        </w:tc>
      </w:tr>
      <w:tr w:rsidR="00F823E2" w:rsidRPr="00EA324E" w:rsidTr="00845688">
        <w:trPr>
          <w:trHeight w:val="20"/>
        </w:trPr>
        <w:tc>
          <w:tcPr>
            <w:tcW w:w="5000" w:type="pct"/>
            <w:gridSpan w:val="7"/>
          </w:tcPr>
          <w:p w:rsidR="00EE5D64" w:rsidRPr="00EA324E" w:rsidRDefault="00EA324E" w:rsidP="00845688">
            <w:pPr>
              <w:pStyle w:val="TableParagraph"/>
              <w:tabs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2.2.1. Resolution content adopted by the Issuer's Board of Directors:</w:t>
            </w:r>
          </w:p>
          <w:p w:rsidR="00EE5D64" w:rsidRPr="00EA324E" w:rsidRDefault="00EA324E" w:rsidP="00845688">
            <w:pPr>
              <w:pStyle w:val="TableParagraph"/>
              <w:tabs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  <w:r>
              <w:rPr>
                <w:sz w:val="24"/>
                <w:lang w:val="en-US"/>
              </w:rPr>
              <w:t xml:space="preserve">ake into consideration the report on execution progress of the Register of non-core assets of </w:t>
            </w:r>
            <w:r>
              <w:rPr>
                <w:sz w:val="24"/>
                <w:lang w:val="en-US"/>
              </w:rPr>
              <w:lastRenderedPageBreak/>
              <w:t>IDGC of the South, PJSC as of June 30, 2019, according to Annex No. 1 to this</w:t>
            </w:r>
          </w:p>
        </w:tc>
      </w:tr>
      <w:tr w:rsidR="00F823E2" w:rsidRPr="00EA324E" w:rsidTr="00845688">
        <w:trPr>
          <w:trHeight w:val="20"/>
        </w:trPr>
        <w:tc>
          <w:tcPr>
            <w:tcW w:w="5000" w:type="pct"/>
            <w:gridSpan w:val="7"/>
          </w:tcPr>
          <w:p w:rsidR="00EE5D64" w:rsidRPr="00EA324E" w:rsidRDefault="00EA324E" w:rsidP="00845688">
            <w:pPr>
              <w:pStyle w:val="TableParagraph"/>
              <w:tabs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resolution of the Company's Board of Directors.</w:t>
            </w:r>
          </w:p>
        </w:tc>
      </w:tr>
      <w:tr w:rsidR="00F823E2" w:rsidRPr="00EA324E" w:rsidTr="00845688">
        <w:trPr>
          <w:trHeight w:val="20"/>
        </w:trPr>
        <w:tc>
          <w:tcPr>
            <w:tcW w:w="5000" w:type="pct"/>
            <w:gridSpan w:val="7"/>
          </w:tcPr>
          <w:p w:rsidR="00EE5D64" w:rsidRPr="00EA324E" w:rsidRDefault="00EA324E" w:rsidP="00845688">
            <w:pPr>
              <w:pStyle w:val="TableParagraph"/>
              <w:tabs>
                <w:tab w:val="left" w:pos="856"/>
              </w:tabs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Insider information disclosure on </w:t>
            </w:r>
            <w:r>
              <w:rPr>
                <w:b/>
                <w:sz w:val="24"/>
                <w:lang w:val="en-US"/>
              </w:rPr>
              <w:t>issue No. 2: On approval of the Register of non-core assets of IDGC of the South, PJSC as of June 30, 2019.</w:t>
            </w:r>
          </w:p>
        </w:tc>
      </w:tr>
      <w:tr w:rsidR="00F823E2" w:rsidRPr="00EA324E" w:rsidTr="00845688">
        <w:trPr>
          <w:trHeight w:val="20"/>
        </w:trPr>
        <w:tc>
          <w:tcPr>
            <w:tcW w:w="5000" w:type="pct"/>
            <w:gridSpan w:val="7"/>
          </w:tcPr>
          <w:p w:rsidR="00EE5D64" w:rsidRPr="00EA324E" w:rsidRDefault="00EA324E" w:rsidP="00845688">
            <w:pPr>
              <w:pStyle w:val="TableParagraph"/>
              <w:tabs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2.2.2. Resolution content adopted by the Issuer's Board of Directors:</w:t>
            </w:r>
          </w:p>
          <w:p w:rsidR="00EE5D64" w:rsidRPr="00EA324E" w:rsidRDefault="00EA324E" w:rsidP="00845688">
            <w:pPr>
              <w:pStyle w:val="TableParagraph"/>
              <w:tabs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Approve the Register of non-core assets of IDGC of the South, PJSC as of June</w:t>
            </w:r>
            <w:r>
              <w:rPr>
                <w:sz w:val="24"/>
                <w:lang w:val="en-US"/>
              </w:rPr>
              <w:t xml:space="preserve"> 30, 2019, according to Annex No. 2 to this resolution of the Company's Board of Directors.</w:t>
            </w:r>
          </w:p>
        </w:tc>
      </w:tr>
      <w:tr w:rsidR="00F823E2" w:rsidRPr="00EA324E" w:rsidTr="00845688">
        <w:trPr>
          <w:trHeight w:val="20"/>
        </w:trPr>
        <w:tc>
          <w:tcPr>
            <w:tcW w:w="5000" w:type="pct"/>
            <w:gridSpan w:val="7"/>
          </w:tcPr>
          <w:p w:rsidR="00EE5D64" w:rsidRPr="00EA324E" w:rsidRDefault="00EA324E" w:rsidP="00845688">
            <w:pPr>
              <w:pStyle w:val="TableParagraph"/>
              <w:tabs>
                <w:tab w:val="left" w:pos="856"/>
              </w:tabs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3: On approval of the work plan of the Board of Directors of IDGC of the South, PJSC for 2019-2020 corporate year.</w:t>
            </w:r>
          </w:p>
        </w:tc>
      </w:tr>
      <w:tr w:rsidR="00F823E2" w:rsidRPr="00EA324E" w:rsidTr="00845688">
        <w:trPr>
          <w:trHeight w:val="20"/>
        </w:trPr>
        <w:tc>
          <w:tcPr>
            <w:tcW w:w="5000" w:type="pct"/>
            <w:gridSpan w:val="7"/>
          </w:tcPr>
          <w:p w:rsidR="00EE5D64" w:rsidRPr="00EA324E" w:rsidRDefault="00EA324E" w:rsidP="00845688">
            <w:pPr>
              <w:pStyle w:val="TableParagraph"/>
              <w:tabs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2.2.3. Resolution content adopted by the Issuer's Board of Directors:</w:t>
            </w:r>
          </w:p>
          <w:p w:rsidR="00EE5D64" w:rsidRPr="00EA324E" w:rsidRDefault="00EA324E" w:rsidP="00845688">
            <w:pPr>
              <w:pStyle w:val="TableParagraph"/>
              <w:tabs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Approve the plan of work of the Board of Directors of IDGC of the South, PJSC for 2019-2020 corporate year according to Annex No. 3 to this resolution of the Company's Board of Directors</w:t>
            </w:r>
            <w:r>
              <w:rPr>
                <w:sz w:val="24"/>
                <w:lang w:val="en-US"/>
              </w:rPr>
              <w:t>.</w:t>
            </w:r>
          </w:p>
        </w:tc>
      </w:tr>
      <w:tr w:rsidR="00F823E2" w:rsidRPr="00EA324E" w:rsidTr="00845688">
        <w:trPr>
          <w:trHeight w:val="20"/>
        </w:trPr>
        <w:tc>
          <w:tcPr>
            <w:tcW w:w="5000" w:type="pct"/>
            <w:gridSpan w:val="7"/>
          </w:tcPr>
          <w:p w:rsidR="00EE5D64" w:rsidRPr="00EA324E" w:rsidRDefault="00EA324E" w:rsidP="00845688">
            <w:pPr>
              <w:pStyle w:val="TableParagraph"/>
              <w:tabs>
                <w:tab w:val="left" w:pos="856"/>
                <w:tab w:val="left" w:pos="1992"/>
                <w:tab w:val="left" w:pos="3740"/>
                <w:tab w:val="left" w:pos="5373"/>
                <w:tab w:val="left" w:pos="5874"/>
                <w:tab w:val="left" w:pos="6985"/>
                <w:tab w:val="left" w:pos="7669"/>
                <w:tab w:val="left" w:pos="8098"/>
              </w:tabs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4: On implementation by the single executive body of the Company of resolutions adopted at meetings of the Company's Board of Directors.</w:t>
            </w:r>
          </w:p>
        </w:tc>
      </w:tr>
      <w:tr w:rsidR="00F823E2" w:rsidRPr="00EA324E" w:rsidTr="00845688">
        <w:trPr>
          <w:trHeight w:val="20"/>
        </w:trPr>
        <w:tc>
          <w:tcPr>
            <w:tcW w:w="5000" w:type="pct"/>
            <w:gridSpan w:val="7"/>
          </w:tcPr>
          <w:p w:rsidR="00EE5D64" w:rsidRPr="00EA324E" w:rsidRDefault="00EA324E" w:rsidP="00845688">
            <w:pPr>
              <w:pStyle w:val="TableParagraph"/>
              <w:tabs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2.2.4. Resolution content adopted by the Issuer's Board of Directors:</w:t>
            </w:r>
          </w:p>
          <w:p w:rsidR="00EE5D64" w:rsidRPr="00EA324E" w:rsidRDefault="00EA324E" w:rsidP="00845688">
            <w:pPr>
              <w:pStyle w:val="TableParagraph"/>
              <w:numPr>
                <w:ilvl w:val="0"/>
                <w:numId w:val="2"/>
              </w:numPr>
              <w:tabs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Take into consideration the report of the Single Executive Body of the Company on the implementation of resolutions adopted at meetings of the Company's Board of Directors, as per Annex 4 hereto.</w:t>
            </w:r>
          </w:p>
          <w:p w:rsidR="00EE5D64" w:rsidRPr="00EA324E" w:rsidRDefault="00EA324E" w:rsidP="00845688">
            <w:pPr>
              <w:pStyle w:val="TableParagraph"/>
              <w:numPr>
                <w:ilvl w:val="0"/>
                <w:numId w:val="2"/>
              </w:numPr>
              <w:tabs>
                <w:tab w:val="left" w:pos="856"/>
                <w:tab w:val="left" w:pos="98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Note the failure of IDGC of the South, PJSC to comply with t</w:t>
            </w:r>
            <w:r>
              <w:rPr>
                <w:sz w:val="24"/>
                <w:lang w:val="en-US"/>
              </w:rPr>
              <w:t>he instructions of the Company's single executive body specified in paragraph 1 hereof.</w:t>
            </w:r>
          </w:p>
          <w:p w:rsidR="00EE5D64" w:rsidRPr="00EA324E" w:rsidRDefault="00EA324E" w:rsidP="00845688">
            <w:pPr>
              <w:pStyle w:val="TableParagraph"/>
              <w:numPr>
                <w:ilvl w:val="0"/>
                <w:numId w:val="2"/>
              </w:numPr>
              <w:tabs>
                <w:tab w:val="left" w:pos="856"/>
                <w:tab w:val="left" w:pos="962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Draw the attention of the single executive body of the Company to the necessity to carry out works on the establishment of security zones of power grid facilities in th</w:t>
            </w:r>
            <w:r>
              <w:rPr>
                <w:sz w:val="24"/>
                <w:lang w:val="en-US"/>
              </w:rPr>
              <w:t>e period up to January 1, 2022, established by the current legislation of the Russian Federation.</w:t>
            </w:r>
          </w:p>
          <w:p w:rsidR="00EE5D64" w:rsidRPr="00EA324E" w:rsidRDefault="00EA324E" w:rsidP="00845688">
            <w:pPr>
              <w:pStyle w:val="TableParagraph"/>
              <w:numPr>
                <w:ilvl w:val="0"/>
                <w:numId w:val="2"/>
              </w:numPr>
              <w:tabs>
                <w:tab w:val="left" w:pos="856"/>
                <w:tab w:val="left" w:pos="1137"/>
                <w:tab w:val="left" w:pos="1138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Entrust the Single Executive Body of the Company with:</w:t>
            </w:r>
          </w:p>
          <w:p w:rsidR="00EE5D64" w:rsidRPr="00EA324E" w:rsidRDefault="00EA324E" w:rsidP="00845688">
            <w:pPr>
              <w:pStyle w:val="TableParagraph"/>
              <w:numPr>
                <w:ilvl w:val="1"/>
                <w:numId w:val="2"/>
              </w:numPr>
              <w:tabs>
                <w:tab w:val="left" w:pos="856"/>
                <w:tab w:val="left" w:pos="1183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ensure strict compliance with Resolution No. 1352 of the Government of the Russian Federation dated Dec</w:t>
            </w:r>
            <w:r>
              <w:rPr>
                <w:sz w:val="24"/>
                <w:lang w:val="en-US"/>
              </w:rPr>
              <w:t>ember 11, 2014 in terms of payment terms under contracts concluded with small and medium-sized businesses;</w:t>
            </w:r>
          </w:p>
          <w:p w:rsidR="00EE5D64" w:rsidRPr="00EA324E" w:rsidRDefault="00EA324E" w:rsidP="00845688">
            <w:pPr>
              <w:pStyle w:val="TableParagraph"/>
              <w:numPr>
                <w:ilvl w:val="1"/>
                <w:numId w:val="2"/>
              </w:numPr>
              <w:tabs>
                <w:tab w:val="left" w:pos="856"/>
                <w:tab w:val="left" w:pos="1138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provide within the report on the implementation in the Q22019 of the resolutions made at the meetings of the Company's Board of Directors, </w:t>
            </w:r>
            <w:r>
              <w:rPr>
                <w:sz w:val="24"/>
                <w:lang w:val="en-US"/>
              </w:rPr>
              <w:t>information on measures taken to ensure timely payment for contracts concluded with small and medium-sized businesses.</w:t>
            </w:r>
          </w:p>
        </w:tc>
      </w:tr>
      <w:tr w:rsidR="00F823E2" w:rsidRPr="00EA324E" w:rsidTr="00845688">
        <w:trPr>
          <w:trHeight w:val="20"/>
        </w:trPr>
        <w:tc>
          <w:tcPr>
            <w:tcW w:w="5000" w:type="pct"/>
            <w:gridSpan w:val="7"/>
          </w:tcPr>
          <w:p w:rsidR="00EE5D64" w:rsidRPr="00EA324E" w:rsidRDefault="00EA324E" w:rsidP="00845688">
            <w:pPr>
              <w:pStyle w:val="TableParagraph"/>
              <w:tabs>
                <w:tab w:val="left" w:pos="856"/>
              </w:tabs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5: On providing insurance coverage of the Company in Q2 2019.</w:t>
            </w:r>
          </w:p>
        </w:tc>
      </w:tr>
      <w:tr w:rsidR="00F823E2" w:rsidRPr="00EA324E" w:rsidTr="00845688">
        <w:trPr>
          <w:trHeight w:val="20"/>
        </w:trPr>
        <w:tc>
          <w:tcPr>
            <w:tcW w:w="5000" w:type="pct"/>
            <w:gridSpan w:val="7"/>
          </w:tcPr>
          <w:p w:rsidR="00EE5D64" w:rsidRPr="00EA324E" w:rsidRDefault="00EA324E" w:rsidP="00845688">
            <w:pPr>
              <w:pStyle w:val="TableParagraph"/>
              <w:tabs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2.2.5. Resolution content ado</w:t>
            </w:r>
            <w:r>
              <w:rPr>
                <w:sz w:val="24"/>
                <w:lang w:val="en-US"/>
              </w:rPr>
              <w:t>pted by the Issuer's Board of Directors:</w:t>
            </w:r>
          </w:p>
          <w:p w:rsidR="00EE5D64" w:rsidRPr="00EA324E" w:rsidRDefault="00EA324E" w:rsidP="00845688">
            <w:pPr>
              <w:pStyle w:val="TableParagraph"/>
              <w:tabs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Take note of the report of the Company's Single Executive Body on providing insurance coverage in Q2 2019 as per Annex 5 to this resolution of the Board of Directors.</w:t>
            </w:r>
          </w:p>
        </w:tc>
      </w:tr>
      <w:tr w:rsidR="00F823E2" w:rsidRPr="00EA324E" w:rsidTr="00DB1623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EE5D64" w:rsidRPr="00EA324E" w:rsidRDefault="00EA324E" w:rsidP="00845688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the meeting of the Issuer's Board of Di</w:t>
            </w:r>
            <w:r>
              <w:rPr>
                <w:sz w:val="24"/>
                <w:lang w:val="en-US"/>
              </w:rPr>
              <w:t xml:space="preserve">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September 5, 2019.</w:t>
            </w:r>
          </w:p>
          <w:p w:rsidR="00EE5D64" w:rsidRPr="00EA324E" w:rsidRDefault="00EA324E" w:rsidP="00845688">
            <w:pPr>
              <w:pStyle w:val="TableParagraph"/>
              <w:numPr>
                <w:ilvl w:val="1"/>
                <w:numId w:val="1"/>
              </w:numPr>
              <w:tabs>
                <w:tab w:val="left" w:pos="638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and number of the minutes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September 9, 2019, Minutes No. 333/2019.</w:t>
            </w:r>
          </w:p>
        </w:tc>
      </w:tr>
      <w:tr w:rsidR="00F823E2" w:rsidTr="00DB1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88" w:rsidRDefault="00EA324E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3. </w:t>
            </w:r>
            <w:r>
              <w:rPr>
                <w:sz w:val="24"/>
                <w:lang w:val="en-US"/>
              </w:rPr>
              <w:t>Signature</w:t>
            </w:r>
          </w:p>
        </w:tc>
      </w:tr>
      <w:tr w:rsidR="00F823E2" w:rsidTr="00DB1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A324E" w:rsidRDefault="00EA324E" w:rsidP="000A6561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Department </w:t>
            </w:r>
          </w:p>
          <w:p w:rsidR="00845688" w:rsidRPr="00EA324E" w:rsidRDefault="00EA324E" w:rsidP="000A6561">
            <w:pPr>
              <w:pStyle w:val="TableParagraph"/>
              <w:ind w:left="0"/>
              <w:rPr>
                <w:lang w:val="en-US"/>
              </w:rPr>
            </w:pPr>
            <w:bookmarkStart w:id="0" w:name="_GoBack"/>
            <w:bookmarkEnd w:id="0"/>
            <w:r>
              <w:rPr>
                <w:sz w:val="24"/>
                <w:lang w:val="en-US"/>
              </w:rPr>
              <w:t>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845688" w:rsidRPr="00EA324E" w:rsidRDefault="00EA324E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845688" w:rsidRDefault="00EA324E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F823E2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845688" w:rsidRDefault="00EA324E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845688" w:rsidRDefault="00EA324E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>
              <w:rPr>
                <w:lang w:val="en-US"/>
              </w:rPr>
              <w:t>L.S.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845688" w:rsidRDefault="00EA324E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F823E2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845688" w:rsidRDefault="00EA324E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845688" w:rsidRPr="00F33787" w:rsidRDefault="00EA324E" w:rsidP="00845688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September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845688" w:rsidRPr="00F33787" w:rsidRDefault="00EA324E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"09",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845688" w:rsidRPr="00F33787" w:rsidRDefault="00EA324E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:rsidR="00845688" w:rsidRDefault="00EA324E" w:rsidP="00845688"/>
    <w:p w:rsidR="00845688" w:rsidRDefault="00EA324E" w:rsidP="00845688"/>
    <w:sectPr w:rsidR="00845688" w:rsidSect="00845688">
      <w:headerReference w:type="default" r:id="rId10"/>
      <w:pgSz w:w="11910" w:h="16850"/>
      <w:pgMar w:top="1440" w:right="1080" w:bottom="1440" w:left="1080" w:header="7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324E">
      <w:r>
        <w:separator/>
      </w:r>
    </w:p>
  </w:endnote>
  <w:endnote w:type="continuationSeparator" w:id="0">
    <w:p w:rsidR="00000000" w:rsidRDefault="00EA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324E">
      <w:r>
        <w:separator/>
      </w:r>
    </w:p>
  </w:footnote>
  <w:footnote w:type="continuationSeparator" w:id="0">
    <w:p w:rsidR="00000000" w:rsidRDefault="00EA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64" w:rsidRPr="00845688" w:rsidRDefault="00EA324E" w:rsidP="0084568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1D32"/>
    <w:multiLevelType w:val="multilevel"/>
    <w:tmpl w:val="12F21C1A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1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292B0856"/>
    <w:multiLevelType w:val="multilevel"/>
    <w:tmpl w:val="99AE48A0"/>
    <w:lvl w:ilvl="0">
      <w:start w:val="1"/>
      <w:numFmt w:val="decimal"/>
      <w:lvlText w:val="%1.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" w:hanging="6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6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6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3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2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1" w:hanging="62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23E2"/>
    <w:rsid w:val="00EA324E"/>
    <w:rsid w:val="00F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CA7E6-D135-439C-B008-982B170C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5D6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EE5D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D64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E5D64"/>
  </w:style>
  <w:style w:type="paragraph" w:customStyle="1" w:styleId="TableParagraph">
    <w:name w:val="Table Paragraph"/>
    <w:basedOn w:val="a"/>
    <w:uiPriority w:val="1"/>
    <w:qFormat/>
    <w:rsid w:val="00EE5D64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8456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568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8456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568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4</cp:revision>
  <dcterms:created xsi:type="dcterms:W3CDTF">2019-12-28T19:56:00Z</dcterms:created>
  <dcterms:modified xsi:type="dcterms:W3CDTF">2020-01-20T13:42:00Z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